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BE" w:rsidRDefault="00322CBE" w:rsidP="00322CBE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BE" w:rsidRDefault="00322CBE" w:rsidP="00322CBE">
      <w:pPr>
        <w:pStyle w:val="a4"/>
        <w:rPr>
          <w:rFonts w:ascii="Times New Roman" w:hAnsi="Times New Roman"/>
        </w:rPr>
      </w:pPr>
    </w:p>
    <w:p w:rsidR="00322CBE" w:rsidRDefault="00322CBE" w:rsidP="00322CB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322CBE" w:rsidRDefault="00322CBE" w:rsidP="00322CB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322CBE" w:rsidRDefault="00322CBE" w:rsidP="00322CB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322CBE" w:rsidRDefault="00322CBE" w:rsidP="00322CBE">
      <w:pPr>
        <w:pStyle w:val="a4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 ОБЛАСТИ</w:t>
      </w:r>
    </w:p>
    <w:p w:rsidR="00322CBE" w:rsidRDefault="00322CBE" w:rsidP="00322CBE">
      <w:pPr>
        <w:pStyle w:val="a4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322CBE" w:rsidRDefault="00322CBE" w:rsidP="00322CBE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 Е</w:t>
      </w:r>
    </w:p>
    <w:p w:rsidR="00322CBE" w:rsidRDefault="00322CBE" w:rsidP="00322CBE">
      <w:pPr>
        <w:pStyle w:val="a4"/>
        <w:rPr>
          <w:rFonts w:ascii="Times New Roman" w:hAnsi="Times New Roman"/>
          <w:sz w:val="24"/>
          <w:szCs w:val="24"/>
        </w:rPr>
      </w:pPr>
    </w:p>
    <w:p w:rsidR="00322CBE" w:rsidRPr="007D586A" w:rsidRDefault="00322CBE" w:rsidP="00322CB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D586A">
        <w:rPr>
          <w:rFonts w:ascii="Times New Roman" w:hAnsi="Times New Roman"/>
          <w:sz w:val="28"/>
          <w:szCs w:val="28"/>
        </w:rPr>
        <w:t xml:space="preserve">от  </w:t>
      </w:r>
      <w:r w:rsidR="00BD4982">
        <w:rPr>
          <w:rFonts w:ascii="Times New Roman" w:hAnsi="Times New Roman"/>
          <w:sz w:val="28"/>
          <w:szCs w:val="28"/>
        </w:rPr>
        <w:t xml:space="preserve">24 ноября </w:t>
      </w:r>
      <w:r w:rsidR="00D546F8">
        <w:rPr>
          <w:rFonts w:ascii="Times New Roman" w:hAnsi="Times New Roman"/>
          <w:sz w:val="28"/>
          <w:szCs w:val="28"/>
        </w:rPr>
        <w:t>2023</w:t>
      </w:r>
      <w:r w:rsidRPr="007D586A">
        <w:rPr>
          <w:rFonts w:ascii="Times New Roman" w:hAnsi="Times New Roman"/>
          <w:sz w:val="28"/>
          <w:szCs w:val="28"/>
        </w:rPr>
        <w:t xml:space="preserve"> года № </w:t>
      </w:r>
      <w:r w:rsidR="00BD4982">
        <w:rPr>
          <w:rFonts w:ascii="Times New Roman" w:hAnsi="Times New Roman"/>
          <w:sz w:val="28"/>
          <w:szCs w:val="28"/>
        </w:rPr>
        <w:t>242</w:t>
      </w:r>
    </w:p>
    <w:p w:rsidR="00322CBE" w:rsidRPr="00DA6CE8" w:rsidRDefault="00322CBE" w:rsidP="00322CBE">
      <w:pPr>
        <w:shd w:val="clear" w:color="auto" w:fill="FFFFFF"/>
        <w:rPr>
          <w:b/>
          <w:color w:val="000000"/>
          <w:spacing w:val="-1"/>
        </w:rPr>
      </w:pPr>
    </w:p>
    <w:p w:rsidR="00322CBE" w:rsidRDefault="00322CBE" w:rsidP="00322CBE">
      <w:pPr>
        <w:shd w:val="clear" w:color="auto" w:fill="FFFFFF"/>
        <w:tabs>
          <w:tab w:val="left" w:leader="dot" w:pos="7598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2CB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Об утверждении муниципальной программы «Развитие части территори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322C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Шумское  сельское поселение Кировского муниципального района Ленинградской области на 202</w:t>
      </w:r>
      <w:r w:rsidR="00D546F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322C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год».</w:t>
      </w:r>
    </w:p>
    <w:p w:rsidR="00322CBE" w:rsidRPr="00322CBE" w:rsidRDefault="00322CBE" w:rsidP="00322CBE">
      <w:pPr>
        <w:shd w:val="clear" w:color="auto" w:fill="FFFFFF"/>
        <w:tabs>
          <w:tab w:val="left" w:leader="dot" w:pos="7598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CBE" w:rsidRPr="00322CBE" w:rsidRDefault="00322CBE" w:rsidP="00322CBE">
      <w:pPr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322CB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322CBE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33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областным законом от 14 декабря 2012 года № 147-оз «</w:t>
      </w:r>
      <w:r w:rsidRPr="00322CBE">
        <w:rPr>
          <w:rFonts w:ascii="Times New Roman" w:hAnsi="Times New Roman" w:cs="Times New Roman"/>
          <w:sz w:val="24"/>
          <w:szCs w:val="24"/>
        </w:rPr>
        <w:t>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</w:r>
      <w:r w:rsidRPr="00322C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2CBE">
        <w:rPr>
          <w:rFonts w:ascii="Times New Roman" w:hAnsi="Times New Roman" w:cs="Times New Roman"/>
          <w:bCs/>
          <w:sz w:val="24"/>
          <w:szCs w:val="24"/>
        </w:rPr>
        <w:t>Положение об общественном</w:t>
      </w:r>
      <w:proofErr w:type="gramEnd"/>
      <w:r w:rsidRPr="00322C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22CBE">
        <w:rPr>
          <w:rFonts w:ascii="Times New Roman" w:hAnsi="Times New Roman" w:cs="Times New Roman"/>
          <w:bCs/>
          <w:sz w:val="24"/>
          <w:szCs w:val="24"/>
        </w:rPr>
        <w:t>совете на части территории муниципального образования Шумское сельское поселение Кировского муниципального района Ленинградской области, Положение «</w:t>
      </w:r>
      <w:r w:rsidRPr="00322CB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 некоторых вопросах организации деятельности старост сельских населенных пунктов муниципального образования Шумское сельское поселение Кировского муниципального района Ленинградской области» </w:t>
      </w:r>
      <w:r w:rsidRPr="00322CBE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  <w:proofErr w:type="gramEnd"/>
    </w:p>
    <w:p w:rsidR="00322CBE" w:rsidRPr="00322CBE" w:rsidRDefault="00322CBE" w:rsidP="00322CB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CBE">
        <w:rPr>
          <w:rFonts w:ascii="Times New Roman" w:hAnsi="Times New Roman" w:cs="Times New Roman"/>
          <w:color w:val="000000"/>
          <w:sz w:val="24"/>
          <w:szCs w:val="24"/>
        </w:rPr>
        <w:t>1. Утвердить муниципальную программу «Развитие части территории муниципального образования Шумское сельское поселение Кировского муниципального района Ленинградской области на 202</w:t>
      </w:r>
      <w:r w:rsidR="00D546F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22CBE">
        <w:rPr>
          <w:rFonts w:ascii="Times New Roman" w:hAnsi="Times New Roman" w:cs="Times New Roman"/>
          <w:color w:val="000000"/>
          <w:sz w:val="24"/>
          <w:szCs w:val="24"/>
        </w:rPr>
        <w:t xml:space="preserve"> год» согласно приложению. </w:t>
      </w:r>
    </w:p>
    <w:p w:rsidR="00322CBE" w:rsidRPr="00322CBE" w:rsidRDefault="00322CBE" w:rsidP="00322CB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CBE">
        <w:rPr>
          <w:rFonts w:ascii="Times New Roman" w:hAnsi="Times New Roman" w:cs="Times New Roman"/>
          <w:color w:val="000000"/>
          <w:sz w:val="24"/>
          <w:szCs w:val="24"/>
        </w:rPr>
        <w:t>3. Финансирование мероприятий муниципальной программы «Развитие части территорий муниципального образования Шумское сельское поселение Кировского муниципального района Ленинградской области на 202</w:t>
      </w:r>
      <w:r w:rsidR="00D546F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22CBE">
        <w:rPr>
          <w:rFonts w:ascii="Times New Roman" w:hAnsi="Times New Roman" w:cs="Times New Roman"/>
          <w:color w:val="000000"/>
          <w:sz w:val="24"/>
          <w:szCs w:val="24"/>
        </w:rPr>
        <w:t xml:space="preserve"> год» производить в пределах ассигнований, предусмотренных на эти цели в бюджете МО Шумское сельское поселение на соответствующий финансовый год.</w:t>
      </w:r>
    </w:p>
    <w:p w:rsidR="000B6F5C" w:rsidRPr="000B6F5C" w:rsidRDefault="000B6F5C" w:rsidP="000B6F5C">
      <w:pPr>
        <w:pStyle w:val="a8"/>
        <w:ind w:left="0"/>
        <w:jc w:val="both"/>
        <w:rPr>
          <w:color w:val="000000"/>
        </w:rPr>
      </w:pPr>
      <w:r>
        <w:rPr>
          <w:sz w:val="26"/>
          <w:szCs w:val="26"/>
        </w:rPr>
        <w:t xml:space="preserve">          4.   </w:t>
      </w:r>
      <w:r w:rsidRPr="000B6F5C">
        <w:rPr>
          <w:color w:val="000000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6" w:history="1">
        <w:r w:rsidRPr="000B6F5C">
          <w:rPr>
            <w:color w:val="000000"/>
          </w:rPr>
          <w:t>www.шумское.рф</w:t>
        </w:r>
      </w:hyperlink>
      <w:r w:rsidRPr="000B6F5C">
        <w:rPr>
          <w:color w:val="000000"/>
        </w:rPr>
        <w:t>.</w:t>
      </w:r>
    </w:p>
    <w:p w:rsidR="00322CBE" w:rsidRPr="000B6F5C" w:rsidRDefault="000B6F5C" w:rsidP="000B6F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F5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B6F5C">
        <w:rPr>
          <w:rFonts w:ascii="Times New Roman" w:hAnsi="Times New Roman" w:cs="Times New Roman"/>
          <w:color w:val="000000"/>
          <w:sz w:val="24"/>
          <w:szCs w:val="24"/>
        </w:rPr>
        <w:t xml:space="preserve">   5. Постановление вступает в силу с 01 января 202</w:t>
      </w:r>
      <w:r w:rsidR="00D546F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6F5C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322CBE" w:rsidRPr="00322CBE" w:rsidRDefault="00322CBE" w:rsidP="00322CBE">
      <w:pPr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22CBE" w:rsidRDefault="00322CBE" w:rsidP="00322CBE">
      <w:pPr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22CBE" w:rsidRDefault="00322CBE" w:rsidP="00322CBE">
      <w:pPr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22CBE" w:rsidRPr="00322CBE" w:rsidRDefault="00322CBE" w:rsidP="00322CBE">
      <w:pPr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22CBE" w:rsidRPr="00322CBE" w:rsidRDefault="00322CBE" w:rsidP="00322CBE">
      <w:pPr>
        <w:jc w:val="both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322CB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22CBE"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Pr="00322CBE">
        <w:rPr>
          <w:rFonts w:ascii="Times New Roman" w:hAnsi="Times New Roman" w:cs="Times New Roman"/>
          <w:sz w:val="24"/>
          <w:szCs w:val="24"/>
        </w:rPr>
        <w:t xml:space="preserve">                        В.Л. Ульянов</w:t>
      </w:r>
    </w:p>
    <w:p w:rsidR="00322CBE" w:rsidRDefault="00322CBE" w:rsidP="00322CBE">
      <w:pPr>
        <w:ind w:left="4956" w:firstLine="225"/>
        <w:rPr>
          <w:sz w:val="24"/>
          <w:szCs w:val="24"/>
        </w:rPr>
      </w:pPr>
    </w:p>
    <w:p w:rsidR="00322CBE" w:rsidRDefault="00322CBE" w:rsidP="00322CBE">
      <w:pPr>
        <w:ind w:left="4956" w:firstLine="225"/>
        <w:rPr>
          <w:sz w:val="24"/>
          <w:szCs w:val="24"/>
        </w:rPr>
      </w:pPr>
    </w:p>
    <w:p w:rsidR="000C718A" w:rsidRDefault="000C718A" w:rsidP="00322CBE">
      <w:pPr>
        <w:ind w:left="4956" w:firstLine="225"/>
        <w:rPr>
          <w:sz w:val="24"/>
          <w:szCs w:val="24"/>
        </w:rPr>
      </w:pPr>
    </w:p>
    <w:p w:rsidR="000C718A" w:rsidRDefault="000C718A" w:rsidP="00322CBE">
      <w:pPr>
        <w:ind w:left="4956" w:firstLine="225"/>
        <w:rPr>
          <w:sz w:val="24"/>
          <w:szCs w:val="24"/>
        </w:rPr>
      </w:pPr>
    </w:p>
    <w:p w:rsidR="000C718A" w:rsidRDefault="000C718A" w:rsidP="00322CBE">
      <w:pPr>
        <w:ind w:left="4956" w:firstLine="225"/>
        <w:rPr>
          <w:sz w:val="24"/>
          <w:szCs w:val="24"/>
        </w:rPr>
      </w:pP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>Утверждено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>МО Шумское сельское поселение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 xml:space="preserve">Кировского муниципального    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       </w:t>
      </w:r>
    </w:p>
    <w:p w:rsidR="00322CBE" w:rsidRPr="00322CBE" w:rsidRDefault="00322CBE" w:rsidP="00322CBE">
      <w:pPr>
        <w:ind w:left="4956" w:firstLine="225"/>
        <w:jc w:val="right"/>
        <w:rPr>
          <w:rFonts w:ascii="Times New Roman" w:hAnsi="Times New Roman" w:cs="Times New Roman"/>
          <w:sz w:val="24"/>
          <w:szCs w:val="24"/>
        </w:rPr>
      </w:pPr>
      <w:r w:rsidRPr="00322CBE">
        <w:rPr>
          <w:rFonts w:ascii="Times New Roman" w:hAnsi="Times New Roman" w:cs="Times New Roman"/>
          <w:sz w:val="24"/>
          <w:szCs w:val="24"/>
        </w:rPr>
        <w:t xml:space="preserve">от </w:t>
      </w:r>
      <w:r w:rsidR="00CB66BB">
        <w:rPr>
          <w:rFonts w:ascii="Times New Roman" w:hAnsi="Times New Roman" w:cs="Times New Roman"/>
          <w:sz w:val="24"/>
          <w:szCs w:val="24"/>
        </w:rPr>
        <w:t>«</w:t>
      </w:r>
      <w:r w:rsidR="00BD4982">
        <w:rPr>
          <w:rFonts w:ascii="Times New Roman" w:hAnsi="Times New Roman" w:cs="Times New Roman"/>
          <w:sz w:val="24"/>
          <w:szCs w:val="24"/>
        </w:rPr>
        <w:t>24</w:t>
      </w:r>
      <w:r w:rsidR="00CB66BB">
        <w:rPr>
          <w:rFonts w:ascii="Times New Roman" w:hAnsi="Times New Roman" w:cs="Times New Roman"/>
          <w:sz w:val="24"/>
          <w:szCs w:val="24"/>
        </w:rPr>
        <w:t>»</w:t>
      </w:r>
      <w:r w:rsidR="007331DE">
        <w:rPr>
          <w:rFonts w:ascii="Times New Roman" w:hAnsi="Times New Roman" w:cs="Times New Roman"/>
          <w:sz w:val="24"/>
          <w:szCs w:val="24"/>
        </w:rPr>
        <w:t xml:space="preserve"> </w:t>
      </w:r>
      <w:r w:rsidR="00BD4982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D50A08">
        <w:rPr>
          <w:rFonts w:ascii="Times New Roman" w:hAnsi="Times New Roman" w:cs="Times New Roman"/>
          <w:sz w:val="24"/>
          <w:szCs w:val="24"/>
        </w:rPr>
        <w:t>2023</w:t>
      </w:r>
      <w:r w:rsidRPr="00322CBE">
        <w:rPr>
          <w:rFonts w:ascii="Times New Roman" w:hAnsi="Times New Roman" w:cs="Times New Roman"/>
          <w:sz w:val="24"/>
          <w:szCs w:val="24"/>
        </w:rPr>
        <w:t xml:space="preserve"> г.  №</w:t>
      </w:r>
      <w:r w:rsidR="00BD4982">
        <w:rPr>
          <w:rFonts w:ascii="Times New Roman" w:hAnsi="Times New Roman" w:cs="Times New Roman"/>
          <w:sz w:val="24"/>
          <w:szCs w:val="24"/>
        </w:rPr>
        <w:t xml:space="preserve"> 242</w:t>
      </w:r>
    </w:p>
    <w:p w:rsidR="00525867" w:rsidRPr="002F06FA" w:rsidRDefault="002F06FA" w:rsidP="00525867">
      <w:pPr>
        <w:widowControl/>
        <w:shd w:val="clear" w:color="auto" w:fill="FFFFFF"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ПАСПОРТ</w:t>
      </w:r>
    </w:p>
    <w:p w:rsidR="00525867" w:rsidRPr="002F06FA" w:rsidRDefault="002F06FA" w:rsidP="002F06FA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м</w:t>
      </w:r>
      <w:r w:rsidRPr="002F06F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униципальной </w:t>
      </w:r>
      <w:r w:rsidR="00525867" w:rsidRPr="002F06FA">
        <w:rPr>
          <w:rFonts w:ascii="Times New Roman" w:hAnsi="Times New Roman" w:cs="Times New Roman"/>
          <w:b/>
          <w:color w:val="333333"/>
          <w:sz w:val="28"/>
          <w:szCs w:val="28"/>
        </w:rPr>
        <w:t>программы</w:t>
      </w:r>
      <w:r w:rsidR="00525867" w:rsidRPr="002F06FA">
        <w:rPr>
          <w:rFonts w:ascii="Times New Roman" w:hAnsi="Times New Roman" w:cs="Times New Roman"/>
          <w:b/>
          <w:color w:val="333333"/>
          <w:sz w:val="28"/>
          <w:szCs w:val="28"/>
        </w:rPr>
        <w:br/>
        <w:t xml:space="preserve">«Развитие части территории </w:t>
      </w:r>
      <w:r w:rsidRPr="002F06FA">
        <w:rPr>
          <w:rFonts w:ascii="Times New Roman" w:hAnsi="Times New Roman" w:cs="Times New Roman"/>
          <w:b/>
          <w:color w:val="333333"/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525867" w:rsidRPr="002F06FA">
        <w:rPr>
          <w:rFonts w:ascii="Times New Roman" w:hAnsi="Times New Roman" w:cs="Times New Roman"/>
          <w:b/>
          <w:color w:val="333333"/>
          <w:sz w:val="28"/>
          <w:szCs w:val="28"/>
        </w:rPr>
        <w:t>на 202</w:t>
      </w:r>
      <w:r w:rsidR="00D546F8">
        <w:rPr>
          <w:rFonts w:ascii="Times New Roman" w:hAnsi="Times New Roman" w:cs="Times New Roman"/>
          <w:b/>
          <w:color w:val="333333"/>
          <w:sz w:val="28"/>
          <w:szCs w:val="28"/>
        </w:rPr>
        <w:t>4</w:t>
      </w:r>
      <w:r w:rsidR="00525867" w:rsidRPr="002F06F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год»</w:t>
      </w:r>
    </w:p>
    <w:p w:rsidR="00525867" w:rsidRPr="002F06FA" w:rsidRDefault="00525867" w:rsidP="00525867">
      <w:pPr>
        <w:widowControl/>
        <w:shd w:val="clear" w:color="auto" w:fill="FFFFFF"/>
        <w:autoSpaceDE/>
        <w:autoSpaceDN/>
        <w:adjustRightInd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  <w:r w:rsidRPr="002F06FA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tbl>
      <w:tblPr>
        <w:tblW w:w="9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6"/>
        <w:gridCol w:w="6478"/>
      </w:tblGrid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086E93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202</w:t>
            </w:r>
            <w:r w:rsidR="00D546F8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Ответственный исполнитель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муниципальной 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Администрация 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Не предусмотрены</w:t>
            </w:r>
          </w:p>
        </w:tc>
      </w:tr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Участники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  <w:r w:rsidR="00525867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»</w:t>
            </w:r>
          </w:p>
          <w:p w:rsidR="002F06FA" w:rsidRPr="00322CBE" w:rsidRDefault="00525867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Старосты 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  <w:p w:rsidR="00525867" w:rsidRPr="00322CBE" w:rsidRDefault="00525867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</w:tr>
      <w:tr w:rsidR="00525867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Создание комфортных условий жизнедеятельности в сельской местности.</w:t>
            </w:r>
          </w:p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Активизация местного населения в решении 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lastRenderedPageBreak/>
              <w:t>вопросов местного значения.</w:t>
            </w:r>
          </w:p>
        </w:tc>
      </w:tr>
      <w:tr w:rsidR="00525867" w:rsidRPr="002F06FA" w:rsidTr="00067562">
        <w:trPr>
          <w:trHeight w:val="872"/>
        </w:trPr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lastRenderedPageBreak/>
              <w:t>Задачи муниципальной программы</w:t>
            </w:r>
          </w:p>
          <w:p w:rsidR="00525867" w:rsidRPr="00322CBE" w:rsidRDefault="00525867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5867" w:rsidRPr="00322CBE" w:rsidRDefault="002F06FA" w:rsidP="002F06FA">
            <w:pPr>
              <w:widowControl/>
              <w:autoSpaceDE/>
              <w:autoSpaceDN/>
              <w:adjustRightInd/>
              <w:spacing w:after="135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- б</w:t>
            </w:r>
            <w:r w:rsidR="00525867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лагоустройство сельских населенных пунктов. </w:t>
            </w:r>
          </w:p>
          <w:p w:rsidR="00525867" w:rsidRPr="00322CBE" w:rsidRDefault="002F06FA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="00525867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создание комфортных условий жизнедеятельности в сельской местности;</w:t>
            </w:r>
          </w:p>
          <w:p w:rsidR="00525867" w:rsidRPr="00322CBE" w:rsidRDefault="002F06FA" w:rsidP="002F06FA">
            <w:pPr>
              <w:widowControl/>
              <w:autoSpaceDE/>
              <w:autoSpaceDN/>
              <w:adjustRightInd/>
              <w:spacing w:after="135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- </w:t>
            </w:r>
            <w:r w:rsidR="00525867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обеспечение жизненно-важных и социально-экономических интересов населения;</w:t>
            </w:r>
          </w:p>
          <w:p w:rsidR="00525867" w:rsidRPr="00322CBE" w:rsidRDefault="00525867" w:rsidP="002F06FA">
            <w:pPr>
              <w:widowControl/>
              <w:autoSpaceDE/>
              <w:autoSpaceDN/>
              <w:adjustRightInd/>
              <w:spacing w:after="135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 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- 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активизация местного населения в решении вопросов местного значения на территории 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2F06FA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Ожидаемые  (конечные) результаты реализации муниципальной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К концу 202</w:t>
            </w:r>
            <w:r w:rsidR="00D546F8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года:</w:t>
            </w:r>
          </w:p>
          <w:p w:rsidR="002F06FA" w:rsidRPr="00322CBE" w:rsidRDefault="002F06FA" w:rsidP="002F06F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1. Доля дорог и сооружений на них, соответствующих нормативными требованиями, составит </w:t>
            </w:r>
            <w:r w:rsidR="00086E93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80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% от потребности;</w:t>
            </w:r>
          </w:p>
          <w:p w:rsidR="002F06FA" w:rsidRDefault="00086E93" w:rsidP="00086E93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. Благоустройство центр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ов сельских населенных пунктов 80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%.</w:t>
            </w:r>
          </w:p>
          <w:p w:rsidR="00086E93" w:rsidRPr="00322CBE" w:rsidRDefault="00086E93" w:rsidP="00086E93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3. Уличное освещение сельских населенных пунктов – 75%</w:t>
            </w:r>
          </w:p>
        </w:tc>
      </w:tr>
      <w:tr w:rsidR="002F06FA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Всего – 2</w:t>
            </w:r>
            <w:r w:rsidR="00D546F8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 808,989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тыс. рублей</w:t>
            </w:r>
          </w:p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в том числе:</w:t>
            </w:r>
          </w:p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2500,00</w:t>
            </w:r>
            <w:r w:rsidR="00D546F8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тыс. руб. средства областного бюджета;</w:t>
            </w:r>
          </w:p>
          <w:p w:rsidR="002F06FA" w:rsidRPr="00322CBE" w:rsidRDefault="00D546F8" w:rsidP="000C718A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308,989</w:t>
            </w:r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тыс</w:t>
            </w:r>
            <w:proofErr w:type="gramStart"/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="002F06FA"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уб. средства местного бюджета;</w:t>
            </w:r>
          </w:p>
        </w:tc>
      </w:tr>
      <w:tr w:rsidR="002F06FA" w:rsidRPr="002F06FA" w:rsidTr="00067562"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Основания для разработки программы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F06FA" w:rsidRPr="00322CBE" w:rsidRDefault="002F06FA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322CBE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Областной закон от 28 декабря №147-оз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      </w:r>
          </w:p>
        </w:tc>
      </w:tr>
    </w:tbl>
    <w:p w:rsidR="00525867" w:rsidRPr="00525867" w:rsidRDefault="00525867" w:rsidP="00525867">
      <w:pPr>
        <w:widowControl/>
        <w:shd w:val="clear" w:color="auto" w:fill="FFFFFF"/>
        <w:autoSpaceDE/>
        <w:autoSpaceDN/>
        <w:adjustRightInd/>
        <w:spacing w:after="135"/>
        <w:rPr>
          <w:rFonts w:ascii="Times New Roman" w:hAnsi="Times New Roman" w:cs="Times New Roman"/>
          <w:color w:val="333333"/>
          <w:sz w:val="24"/>
          <w:szCs w:val="24"/>
        </w:rPr>
      </w:pPr>
      <w:r w:rsidRPr="0052586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2F06FA" w:rsidRPr="002F06FA" w:rsidRDefault="00525867" w:rsidP="002F06F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F06F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Общая характеристика, основные проблемы и прогноз развития сферы реализации </w:t>
      </w:r>
      <w:r w:rsidR="002F06FA" w:rsidRPr="002F06FA">
        <w:rPr>
          <w:rFonts w:ascii="Times New Roman" w:hAnsi="Times New Roman" w:cs="Times New Roman"/>
          <w:b/>
          <w:color w:val="333333"/>
          <w:sz w:val="28"/>
          <w:szCs w:val="28"/>
        </w:rPr>
        <w:t>муниципальной п</w:t>
      </w:r>
      <w:r w:rsidRPr="002F06FA">
        <w:rPr>
          <w:rFonts w:ascii="Times New Roman" w:hAnsi="Times New Roman" w:cs="Times New Roman"/>
          <w:b/>
          <w:color w:val="333333"/>
          <w:sz w:val="28"/>
          <w:szCs w:val="28"/>
        </w:rPr>
        <w:t>рограммы</w:t>
      </w:r>
    </w:p>
    <w:p w:rsidR="00525867" w:rsidRPr="00322CBE" w:rsidRDefault="002F06FA" w:rsidP="002F06FA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входит в состав 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Кировского</w:t>
      </w:r>
      <w:r w:rsidR="00D6130E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муниципального района. В состав 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D6130E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муниципального образования Шумское сельское поселение Кировского муниципального района Ленинградской области входит 29 населенных пунктов, включая административный центр с. Шум.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Площадь территории поселения – 375 м</w:t>
      </w:r>
      <w:proofErr w:type="gramStart"/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proofErr w:type="gramEnd"/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, 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Численность постоянного населения на 1 января 202</w:t>
      </w:r>
      <w:r w:rsidR="00D546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года – </w:t>
      </w:r>
      <w:r w:rsidR="00D546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2932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человек.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         К числу основных проблем развития сельских территорий относятся: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     сложная демографическая ситуация;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     низкий уровень благоустройства и обеспеченности инженерной инфраструктурой;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      низкий уровень качества жизни населения в сельских населенных пунктах.</w:t>
      </w:r>
    </w:p>
    <w:p w:rsidR="00525867" w:rsidRPr="00D0214C" w:rsidRDefault="00525867" w:rsidP="000A395B">
      <w:pPr>
        <w:widowControl/>
        <w:shd w:val="clear" w:color="auto" w:fill="FFFFFF"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2.Приоритеты муниципальной политики в сфере реализации Программы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 Основным приоритетным направлением муниципальной политики, является обеспечение необходимого уровня благоустройства в соответствии с потребностями населения.</w:t>
      </w:r>
    </w:p>
    <w:p w:rsidR="00525867" w:rsidRPr="00D0214C" w:rsidRDefault="00525867" w:rsidP="00D0214C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3.Основные цели и задачи, показатели (индикаторы), конечные результаты, сроки и этапы реализации Программы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F06F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Основные цели Программы: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Привлечение граждан сельских населенных пунктов к активным формам непосредственного участия в осуществлении местного самоуправления.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Создание комфортных условий жизнедеятельности в сельской местности.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рамках достижения поставленных целей необходимо обеспечить решение следующей задачи: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Повышение уровня комплексного обустройства населенных пунктов, расположенных в сельской местности.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Основные целевые показатели (индикаторы), характеризующие достижение цели и решение задач: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Доля дорог и сооружений на них в сельских населенных пунктах, соответствующих нормативным требованиям.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 xml:space="preserve">Проведение мероприятий Программы позволит сформировать единую функциональную основу для достижения предусмотренных Программой показателей благоустройства сельских населенных пунктов на территории </w:t>
      </w:r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Ожидаемый эффект от реализации Программы будет носить социальный характер и состоять в изменении ценностных ориентаций и поведения населения по отношению к территории своего сельского населенного пункта, повышении уровня гражданской ответственности и социальной активности жителей сельского населенного пункта.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целом, реализация настоящей Программы позволит обеспечить необходимый уровень благоустройства, в соответствии с потребностями населения сельских населенных пунктов, в том числе:</w:t>
      </w:r>
    </w:p>
    <w:p w:rsidR="00525867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Доля дорог и сооружений на них, соответствующих норма</w:t>
      </w:r>
      <w:r w:rsidR="00086E9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тивными требованиями, составит 80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% от потребности;</w:t>
      </w:r>
    </w:p>
    <w:p w:rsidR="00086E93" w:rsidRDefault="00086E93" w:rsidP="00086E93">
      <w:pPr>
        <w:widowControl/>
        <w:autoSpaceDE/>
        <w:autoSpaceDN/>
        <w:adjustRightInd/>
        <w:spacing w:after="135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Благоустройство центр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ов сельских населенных пунктов 80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%.</w:t>
      </w:r>
    </w:p>
    <w:p w:rsidR="00086E93" w:rsidRDefault="00086E93" w:rsidP="00086E9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Уличное освещение сельских населенных пунктов – 75%</w:t>
      </w:r>
    </w:p>
    <w:p w:rsidR="00086E93" w:rsidRPr="00322CBE" w:rsidRDefault="00086E93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525867" w:rsidRPr="00D0214C" w:rsidRDefault="00525867" w:rsidP="000A395B">
      <w:pPr>
        <w:widowControl/>
        <w:shd w:val="clear" w:color="auto" w:fill="FFFFFF"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4.Характеристика основных мероприятий Программы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F06F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Реализация мероприятий Программы будет способствовать повышению уровня жизни сельского населения, активизации участия граждан в решении вопросов местного значения.</w:t>
      </w:r>
    </w:p>
    <w:p w:rsidR="00525867" w:rsidRPr="00322CBE" w:rsidRDefault="00525867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рамках Программы реализуется следующее основное мероприятие «Благоустройство сельских населенных пунктов </w:t>
      </w:r>
      <w:r w:rsidR="00D0214C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», которое предусматривает:</w:t>
      </w:r>
    </w:p>
    <w:p w:rsidR="00525867" w:rsidRDefault="00086E93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  </w:t>
      </w:r>
      <w:r w:rsidR="00525867"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выполнение работ по ремонту дорог;</w:t>
      </w:r>
    </w:p>
    <w:p w:rsidR="00086E93" w:rsidRDefault="00086E93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 приобретение детских игровых городков;</w:t>
      </w:r>
    </w:p>
    <w:p w:rsidR="00086E93" w:rsidRDefault="00086E93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 приобретение электротоваров для уличного освещения населенных пунктов</w:t>
      </w:r>
    </w:p>
    <w:p w:rsidR="00086E93" w:rsidRPr="00322CBE" w:rsidRDefault="00086E93" w:rsidP="002F06FA">
      <w:pPr>
        <w:widowControl/>
        <w:shd w:val="clear" w:color="auto" w:fill="FFFFFF"/>
        <w:autoSpaceDE/>
        <w:autoSpaceDN/>
        <w:adjustRightInd/>
        <w:spacing w:after="13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525867" w:rsidRPr="000A395B" w:rsidRDefault="00525867" w:rsidP="000A395B">
      <w:pPr>
        <w:widowControl/>
        <w:shd w:val="clear" w:color="auto" w:fill="FFFFFF"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5.Порядок взаимодействия ответственного исполнителя и участников Программы</w:t>
      </w:r>
    </w:p>
    <w:p w:rsidR="00525867" w:rsidRPr="00322CBE" w:rsidRDefault="00525867" w:rsidP="00322CB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70" w:lineRule="atLeast"/>
        <w:ind w:left="375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Участники Программы представляют ответственному исполнителю необходимую информацию для подготовки ответов на запросы комитета </w:t>
      </w:r>
      <w:r w:rsidRPr="00322C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>по экономическому развитию и управлению муниципальным имуществом и комитета финансов, отчет о ходе реализации мероприятий Программы, а также информацию необходимую для проведения оценки эффективности программы и подготовки годового (итогового) отчета.</w:t>
      </w:r>
    </w:p>
    <w:p w:rsidR="00525867" w:rsidRPr="00D0214C" w:rsidRDefault="00525867" w:rsidP="00322CBE">
      <w:pPr>
        <w:widowControl/>
        <w:shd w:val="clear" w:color="auto" w:fill="FFFFFF"/>
        <w:autoSpaceDE/>
        <w:autoSpaceDN/>
        <w:adjustRightInd/>
        <w:ind w:left="37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214C">
        <w:rPr>
          <w:rFonts w:ascii="Times New Roman" w:hAnsi="Times New Roman" w:cs="Times New Roman"/>
          <w:b/>
          <w:color w:val="333333"/>
          <w:sz w:val="28"/>
          <w:szCs w:val="28"/>
        </w:rPr>
        <w:t>6.Оценка эффективности Программы</w:t>
      </w:r>
    </w:p>
    <w:p w:rsidR="00322CBE" w:rsidRDefault="00525867" w:rsidP="00D0214C">
      <w:pPr>
        <w:pStyle w:val="Heading"/>
        <w:ind w:right="-2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214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   Оценка эффективности Программы проводится в соответствии </w:t>
      </w:r>
      <w:r w:rsidR="00D0214C" w:rsidRPr="00D0214C">
        <w:rPr>
          <w:rFonts w:ascii="Times New Roman" w:hAnsi="Times New Roman" w:cs="Times New Roman"/>
          <w:b w:val="0"/>
          <w:sz w:val="28"/>
          <w:szCs w:val="28"/>
        </w:rPr>
        <w:t>Порядка разработки, реализации и оценки эффективности муниципальных программ муниципального образования Шумское  сельское поселение Кировского</w:t>
      </w:r>
      <w:r w:rsidR="00D0214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D0214C" w:rsidRPr="00D0214C">
        <w:rPr>
          <w:rFonts w:ascii="Times New Roman" w:hAnsi="Times New Roman" w:cs="Times New Roman"/>
          <w:b w:val="0"/>
          <w:sz w:val="28"/>
          <w:szCs w:val="28"/>
        </w:rPr>
        <w:t>муниципального района Ленинградской области</w:t>
      </w:r>
      <w:r w:rsidR="00D021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214C">
        <w:rPr>
          <w:rFonts w:ascii="Times New Roman" w:hAnsi="Times New Roman" w:cs="Times New Roman"/>
          <w:b w:val="0"/>
          <w:sz w:val="28"/>
          <w:szCs w:val="28"/>
        </w:rPr>
        <w:t xml:space="preserve">утвержденным постановлением Администрации </w:t>
      </w:r>
      <w:r w:rsidR="00D0214C" w:rsidRPr="00D0214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D0214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86E93">
        <w:rPr>
          <w:rFonts w:ascii="Times New Roman" w:hAnsi="Times New Roman" w:cs="Times New Roman"/>
          <w:b w:val="0"/>
          <w:sz w:val="28"/>
          <w:szCs w:val="28"/>
        </w:rPr>
        <w:t>29.11.2021</w:t>
      </w:r>
      <w:r w:rsidRPr="00D0214C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086E93">
        <w:rPr>
          <w:rFonts w:ascii="Times New Roman" w:hAnsi="Times New Roman" w:cs="Times New Roman"/>
          <w:b w:val="0"/>
          <w:sz w:val="28"/>
          <w:szCs w:val="28"/>
        </w:rPr>
        <w:t>275</w:t>
      </w:r>
      <w:r w:rsidR="00D546F8" w:rsidRPr="00D546F8">
        <w:rPr>
          <w:rFonts w:ascii="Times New Roman" w:hAnsi="Times New Roman" w:cs="Times New Roman"/>
          <w:b w:val="0"/>
          <w:sz w:val="28"/>
          <w:szCs w:val="28"/>
        </w:rPr>
        <w:t>  (с изменениями)</w:t>
      </w:r>
      <w:r w:rsidRPr="00525867">
        <w:rPr>
          <w:rFonts w:ascii="Times New Roman" w:hAnsi="Times New Roman" w:cs="Times New Roman"/>
          <w:color w:val="333333"/>
          <w:sz w:val="24"/>
          <w:szCs w:val="24"/>
        </w:rPr>
        <w:t>                                                </w:t>
      </w:r>
    </w:p>
    <w:p w:rsidR="00106AB0" w:rsidRDefault="00106AB0" w:rsidP="00D0214C">
      <w:pPr>
        <w:pStyle w:val="Heading"/>
        <w:ind w:right="-2"/>
        <w:jc w:val="right"/>
        <w:rPr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106AB0" w:rsidRDefault="00106AB0" w:rsidP="00D0214C">
      <w:pPr>
        <w:pStyle w:val="Heading"/>
        <w:ind w:right="-2"/>
        <w:jc w:val="right"/>
        <w:rPr>
          <w:rFonts w:ascii="Times New Roman" w:hAnsi="Times New Roman" w:cs="Times New Roman"/>
          <w:b w:val="0"/>
          <w:color w:val="333333"/>
          <w:sz w:val="24"/>
          <w:szCs w:val="24"/>
        </w:rPr>
        <w:sectPr w:rsidR="00106AB0" w:rsidSect="00106AB0">
          <w:pgSz w:w="11906" w:h="16837" w:code="9"/>
          <w:pgMar w:top="1134" w:right="851" w:bottom="1134" w:left="1701" w:header="0" w:footer="0" w:gutter="0"/>
          <w:cols w:space="708"/>
          <w:docGrid w:linePitch="299"/>
        </w:sectPr>
      </w:pPr>
    </w:p>
    <w:p w:rsidR="00A95058" w:rsidRPr="00D0214C" w:rsidRDefault="00A95058" w:rsidP="00A95058">
      <w:pPr>
        <w:pStyle w:val="Heading"/>
        <w:ind w:right="-2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0214C">
        <w:rPr>
          <w:rFonts w:ascii="Times New Roman" w:hAnsi="Times New Roman" w:cs="Times New Roman"/>
          <w:b w:val="0"/>
          <w:color w:val="333333"/>
          <w:sz w:val="24"/>
          <w:szCs w:val="24"/>
        </w:rPr>
        <w:lastRenderedPageBreak/>
        <w:t>Приложение № 1</w:t>
      </w:r>
    </w:p>
    <w:p w:rsidR="00A95058" w:rsidRDefault="00A95058" w:rsidP="00A95058">
      <w:pPr>
        <w:widowControl/>
        <w:shd w:val="clear" w:color="auto" w:fill="FFFFFF"/>
        <w:autoSpaceDE/>
        <w:autoSpaceDN/>
        <w:adjustRightInd/>
        <w:spacing w:after="135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525867">
        <w:rPr>
          <w:rFonts w:ascii="Times New Roman" w:hAnsi="Times New Roman" w:cs="Times New Roman"/>
          <w:color w:val="333333"/>
          <w:sz w:val="24"/>
          <w:szCs w:val="24"/>
        </w:rPr>
        <w:t>к Программе</w:t>
      </w:r>
    </w:p>
    <w:tbl>
      <w:tblPr>
        <w:tblpPr w:leftFromText="180" w:rightFromText="180" w:vertAnchor="page" w:horzAnchor="margin" w:tblpXSpec="center" w:tblpY="2416"/>
        <w:tblW w:w="542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09"/>
        <w:gridCol w:w="7134"/>
        <w:gridCol w:w="711"/>
        <w:gridCol w:w="140"/>
        <w:gridCol w:w="854"/>
        <w:gridCol w:w="711"/>
        <w:gridCol w:w="995"/>
        <w:gridCol w:w="985"/>
      </w:tblGrid>
      <w:tr w:rsidR="00A95058" w:rsidRPr="00BA66EE" w:rsidTr="00574679">
        <w:trPr>
          <w:trHeight w:val="20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Наименование государственной программы, подпрограммы муниципальной программы, основного мероприятия, проекта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A95058" w:rsidRPr="00BA66EE" w:rsidTr="00574679">
        <w:trPr>
          <w:trHeight w:val="213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</w:tr>
      <w:tr w:rsidR="00A95058" w:rsidRPr="00BA66EE" w:rsidTr="00574679">
        <w:trPr>
          <w:trHeight w:val="185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 w:rsidRPr="0095744D">
              <w:rPr>
                <w:rFonts w:ascii="Times New Roman" w:hAnsi="Times New Roman" w:cs="Times New Roman"/>
                <w:b/>
              </w:rPr>
              <w:t xml:space="preserve"> </w:t>
            </w:r>
            <w:r w:rsidRPr="00BA66EE">
              <w:rPr>
                <w:rFonts w:ascii="Times New Roman" w:hAnsi="Times New Roman" w:cs="Times New Roman"/>
                <w:b/>
              </w:rPr>
              <w:t>«</w:t>
            </w:r>
            <w:r w:rsidRPr="0095744D">
              <w:rPr>
                <w:rFonts w:ascii="Times New Roman" w:hAnsi="Times New Roman" w:cs="Times New Roman"/>
                <w:b/>
              </w:rPr>
              <w:t xml:space="preserve"> Развитие части территории муниципального образования  Шумское  сельское поселение Кировского муниципального рай</w:t>
            </w:r>
            <w:r>
              <w:rPr>
                <w:rFonts w:ascii="Times New Roman" w:hAnsi="Times New Roman" w:cs="Times New Roman"/>
                <w:b/>
              </w:rPr>
              <w:t>она Ленинградской области</w:t>
            </w:r>
            <w:r w:rsidRPr="00BA66EE">
              <w:rPr>
                <w:rFonts w:ascii="Times New Roman" w:hAnsi="Times New Roman" w:cs="Times New Roman"/>
                <w:b/>
              </w:rPr>
              <w:t>»</w:t>
            </w:r>
          </w:p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Ответственный исполнитель - Администрация МО Шумское сельское поселение</w:t>
            </w:r>
          </w:p>
          <w:p w:rsidR="00A95058" w:rsidRPr="00106AB0" w:rsidRDefault="00A95058" w:rsidP="00EB6C20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 xml:space="preserve">Участники программы: </w:t>
            </w:r>
          </w:p>
          <w:p w:rsidR="00A95058" w:rsidRPr="00106AB0" w:rsidRDefault="00A95058" w:rsidP="00EB6C20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Старосты МО Шумское сельское поселение</w:t>
            </w:r>
          </w:p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744D">
              <w:rPr>
                <w:rFonts w:ascii="Times New Roman" w:hAnsi="Times New Roman" w:cs="Times New Roman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  <w:r w:rsidRPr="00BA66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086E93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D546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574679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2808,989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574679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308,989</w:t>
            </w:r>
          </w:p>
        </w:tc>
      </w:tr>
      <w:tr w:rsidR="00A95058" w:rsidRPr="00BA66EE" w:rsidTr="00574679">
        <w:trPr>
          <w:trHeight w:val="23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202</w:t>
            </w:r>
            <w:r w:rsidR="00D546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95058" w:rsidRPr="00BA66EE" w:rsidTr="00574679">
        <w:trPr>
          <w:trHeight w:val="714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202</w:t>
            </w:r>
            <w:r w:rsidR="00D546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95058" w:rsidRPr="00BA66EE" w:rsidTr="00574679">
        <w:trPr>
          <w:trHeight w:val="183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574679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2808,989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574679" w:rsidP="00EB6C2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308,989</w:t>
            </w:r>
          </w:p>
        </w:tc>
      </w:tr>
      <w:tr w:rsidR="00A95058" w:rsidRPr="00BA66EE" w:rsidTr="00EB6C20">
        <w:trPr>
          <w:trHeight w:val="1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BA66EE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A66EE">
              <w:rPr>
                <w:rFonts w:ascii="Times New Roman" w:hAnsi="Times New Roman" w:cs="Times New Roman"/>
                <w:b/>
              </w:rPr>
              <w:t>Процессная часть</w:t>
            </w:r>
          </w:p>
        </w:tc>
      </w:tr>
      <w:tr w:rsidR="00A95058" w:rsidRPr="00BA66EE" w:rsidTr="00EB6C20">
        <w:trPr>
          <w:trHeight w:val="480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042BB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процессных мероприятий </w:t>
            </w:r>
            <w:r w:rsidRPr="00A042BB">
              <w:rPr>
                <w:sz w:val="18"/>
                <w:szCs w:val="18"/>
              </w:rPr>
              <w:t xml:space="preserve"> «</w:t>
            </w:r>
            <w:r w:rsidRPr="00A042BB">
              <w:rPr>
                <w:rFonts w:ascii="Times New Roman" w:hAnsi="Times New Roman" w:cs="Times New Roman"/>
                <w:sz w:val="18"/>
                <w:szCs w:val="18"/>
              </w:rPr>
              <w:t>Комплексное развитие территории муниципального образования Шумское сельское поселение Кировского муниципального района Ленинградской области»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Администрация МО Шумское сельское поселение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программы: 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-Старосты МО Шумское сельское поселение</w:t>
            </w:r>
          </w:p>
          <w:p w:rsidR="00A95058" w:rsidRPr="00BA66EE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546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574679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2808,989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574679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308,989</w:t>
            </w:r>
          </w:p>
        </w:tc>
      </w:tr>
      <w:tr w:rsidR="00A95058" w:rsidRPr="00BA66EE" w:rsidTr="00EB6C20">
        <w:trPr>
          <w:trHeight w:val="466"/>
        </w:trPr>
        <w:tc>
          <w:tcPr>
            <w:tcW w:w="1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A042BB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546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292"/>
        </w:trPr>
        <w:tc>
          <w:tcPr>
            <w:tcW w:w="1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A042BB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546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325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«Реализация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Администрация МО Шумское сельское поселение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программы: 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-Старосты МО Шумское сельское поселение</w:t>
            </w:r>
          </w:p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546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574679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2808,989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574679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308,989</w:t>
            </w:r>
          </w:p>
        </w:tc>
      </w:tr>
      <w:tr w:rsidR="00A95058" w:rsidRPr="00BA66EE" w:rsidTr="00EB6C20">
        <w:trPr>
          <w:trHeight w:val="263"/>
        </w:trPr>
        <w:tc>
          <w:tcPr>
            <w:tcW w:w="1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546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324"/>
        </w:trPr>
        <w:tc>
          <w:tcPr>
            <w:tcW w:w="1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D546F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546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253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1E5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Приобретение 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>детских игровых городков</w:t>
            </w: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6E93">
              <w:rPr>
                <w:rFonts w:ascii="Times New Roman" w:hAnsi="Times New Roman" w:cs="Times New Roman"/>
                <w:sz w:val="18"/>
                <w:szCs w:val="18"/>
              </w:rPr>
              <w:t xml:space="preserve">в д. </w:t>
            </w:r>
            <w:r w:rsidR="001E5A5C">
              <w:rPr>
                <w:rFonts w:ascii="Times New Roman" w:hAnsi="Times New Roman" w:cs="Times New Roman"/>
                <w:sz w:val="18"/>
                <w:szCs w:val="18"/>
              </w:rPr>
              <w:t>Пейчала</w:t>
            </w:r>
          </w:p>
        </w:tc>
        <w:tc>
          <w:tcPr>
            <w:tcW w:w="2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Администрация МО Шумское сельское поселение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программы: </w:t>
            </w:r>
          </w:p>
          <w:p w:rsidR="00A95058" w:rsidRPr="00F96090" w:rsidRDefault="00A95058" w:rsidP="00EB6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-Старосты МО Шумское сельское поселение</w:t>
            </w:r>
          </w:p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1E5A5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E5A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1E5A5C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0290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1E5A5C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1E5A5C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70290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95058" w:rsidRPr="00BA66EE" w:rsidTr="00EB6C20">
        <w:trPr>
          <w:trHeight w:val="175"/>
        </w:trPr>
        <w:tc>
          <w:tcPr>
            <w:tcW w:w="1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1E5A5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E5A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95058" w:rsidRPr="00BA66EE" w:rsidTr="00EB6C20">
        <w:trPr>
          <w:trHeight w:val="730"/>
        </w:trPr>
        <w:tc>
          <w:tcPr>
            <w:tcW w:w="1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1E5A5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E5A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8" w:rsidRPr="00F96090" w:rsidRDefault="00A95058" w:rsidP="00EB6C2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609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A95058" w:rsidRDefault="00A95058" w:rsidP="00A95058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B06221">
        <w:rPr>
          <w:rFonts w:ascii="Times New Roman" w:hAnsi="Times New Roman" w:cs="Times New Roman"/>
          <w:b/>
          <w:color w:val="333333"/>
          <w:sz w:val="22"/>
          <w:szCs w:val="22"/>
        </w:rPr>
        <w:t>План мероприятий муниципальной программы</w:t>
      </w:r>
      <w:r w:rsidRPr="00B06221">
        <w:rPr>
          <w:rFonts w:ascii="Times New Roman" w:hAnsi="Times New Roman" w:cs="Times New Roman"/>
          <w:b/>
          <w:color w:val="333333"/>
          <w:sz w:val="22"/>
          <w:szCs w:val="22"/>
        </w:rPr>
        <w:br/>
        <w:t>«Развитие части территории муниципального образования Шумское сельское поселение Кировского муниципального района</w:t>
      </w:r>
      <w:r w:rsidRPr="00106AB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Ленинградской области»</w:t>
      </w:r>
    </w:p>
    <w:tbl>
      <w:tblPr>
        <w:tblStyle w:val="a7"/>
        <w:tblpPr w:leftFromText="180" w:rightFromText="180" w:vertAnchor="text" w:horzAnchor="margin" w:tblpXSpec="center" w:tblpY="-175"/>
        <w:tblW w:w="15799" w:type="dxa"/>
        <w:tblLook w:val="04A0"/>
      </w:tblPr>
      <w:tblGrid>
        <w:gridCol w:w="4169"/>
        <w:gridCol w:w="6994"/>
        <w:gridCol w:w="845"/>
        <w:gridCol w:w="966"/>
        <w:gridCol w:w="744"/>
        <w:gridCol w:w="966"/>
        <w:gridCol w:w="1115"/>
      </w:tblGrid>
      <w:tr w:rsidR="00A95058" w:rsidTr="00086E93">
        <w:trPr>
          <w:trHeight w:val="423"/>
        </w:trPr>
        <w:tc>
          <w:tcPr>
            <w:tcW w:w="4207" w:type="dxa"/>
            <w:vMerge w:val="restart"/>
          </w:tcPr>
          <w:p w:rsidR="00A95058" w:rsidRPr="00C34468" w:rsidRDefault="00A95058" w:rsidP="001E5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B06221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EF10A4">
              <w:rPr>
                <w:rFonts w:ascii="Times New Roman" w:hAnsi="Times New Roman" w:cs="Times New Roman"/>
              </w:rPr>
              <w:t xml:space="preserve">Приобретение известнякового щебня в д. </w:t>
            </w:r>
            <w:r w:rsidR="001E5A5C">
              <w:rPr>
                <w:rFonts w:ascii="Times New Roman" w:hAnsi="Times New Roman" w:cs="Times New Roman"/>
              </w:rPr>
              <w:t>Рындела, ул. Мира, д. Речка, д. Горгала, д. Бабаново, пос. Концы, ул. 1-я Карьерная, приобретение ЩПС в дер. Речка</w:t>
            </w:r>
            <w:proofErr w:type="gramEnd"/>
          </w:p>
        </w:tc>
        <w:tc>
          <w:tcPr>
            <w:tcW w:w="7068" w:type="dxa"/>
            <w:vMerge w:val="restart"/>
          </w:tcPr>
          <w:p w:rsidR="00A95058" w:rsidRDefault="00A95058" w:rsidP="00086E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Ответственный исполнитель - Администрация МО Шумское сельское поселение</w:t>
            </w:r>
          </w:p>
          <w:p w:rsidR="00A95058" w:rsidRPr="00106AB0" w:rsidRDefault="00A95058" w:rsidP="00086E93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 xml:space="preserve">Участники программы: </w:t>
            </w:r>
          </w:p>
          <w:p w:rsidR="00A95058" w:rsidRPr="00106AB0" w:rsidRDefault="00A95058" w:rsidP="00086E93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Старосты МО Шумское сельское поселение</w:t>
            </w:r>
          </w:p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5744D">
              <w:rPr>
                <w:rFonts w:ascii="Times New Roman" w:hAnsi="Times New Roman" w:cs="Times New Roman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848" w:type="dxa"/>
          </w:tcPr>
          <w:p w:rsidR="00A95058" w:rsidRPr="002E4E7B" w:rsidRDefault="00A95058" w:rsidP="001E5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</w:t>
            </w:r>
            <w:r w:rsidR="001E5A5C">
              <w:rPr>
                <w:rFonts w:ascii="Times New Roman" w:hAnsi="Times New Roman" w:cs="Times New Roman"/>
                <w:color w:val="333333"/>
              </w:rPr>
              <w:t>4</w:t>
            </w:r>
          </w:p>
        </w:tc>
        <w:tc>
          <w:tcPr>
            <w:tcW w:w="957" w:type="dxa"/>
          </w:tcPr>
          <w:p w:rsidR="00A95058" w:rsidRPr="002E4E7B" w:rsidRDefault="00574679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1608,989</w:t>
            </w:r>
          </w:p>
        </w:tc>
        <w:tc>
          <w:tcPr>
            <w:tcW w:w="74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A95058" w:rsidRPr="002E4E7B" w:rsidRDefault="00702907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1432,00</w:t>
            </w:r>
            <w:r w:rsidR="001E5A5C"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1118" w:type="dxa"/>
          </w:tcPr>
          <w:p w:rsidR="00A95058" w:rsidRPr="002E4E7B" w:rsidRDefault="001E5A5C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176,989</w:t>
            </w:r>
          </w:p>
        </w:tc>
      </w:tr>
      <w:tr w:rsidR="00A95058" w:rsidTr="00086E93">
        <w:trPr>
          <w:trHeight w:val="688"/>
        </w:trPr>
        <w:tc>
          <w:tcPr>
            <w:tcW w:w="4207" w:type="dxa"/>
            <w:vMerge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68" w:type="dxa"/>
            <w:vMerge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48" w:type="dxa"/>
          </w:tcPr>
          <w:p w:rsidR="00A95058" w:rsidRPr="002E4E7B" w:rsidRDefault="00A95058" w:rsidP="001E5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</w:t>
            </w:r>
            <w:r w:rsidR="001E5A5C">
              <w:rPr>
                <w:rFonts w:ascii="Times New Roman" w:hAnsi="Times New Roman" w:cs="Times New Roman"/>
                <w:color w:val="333333"/>
              </w:rPr>
              <w:t>5</w:t>
            </w:r>
          </w:p>
        </w:tc>
        <w:tc>
          <w:tcPr>
            <w:tcW w:w="957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74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111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</w:tr>
      <w:tr w:rsidR="00A95058" w:rsidTr="00086E93">
        <w:trPr>
          <w:trHeight w:val="656"/>
        </w:trPr>
        <w:tc>
          <w:tcPr>
            <w:tcW w:w="4207" w:type="dxa"/>
            <w:vMerge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68" w:type="dxa"/>
            <w:vMerge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48" w:type="dxa"/>
          </w:tcPr>
          <w:p w:rsidR="00A95058" w:rsidRPr="002E4E7B" w:rsidRDefault="00A95058" w:rsidP="001E5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</w:t>
            </w:r>
            <w:r w:rsidR="001E5A5C">
              <w:rPr>
                <w:rFonts w:ascii="Times New Roman" w:hAnsi="Times New Roman" w:cs="Times New Roman"/>
                <w:color w:val="333333"/>
              </w:rPr>
              <w:t>6</w:t>
            </w:r>
          </w:p>
        </w:tc>
        <w:tc>
          <w:tcPr>
            <w:tcW w:w="957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74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1118" w:type="dxa"/>
          </w:tcPr>
          <w:p w:rsidR="00A95058" w:rsidRPr="002E4E7B" w:rsidRDefault="00A95058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</w:tr>
      <w:tr w:rsidR="00086E93" w:rsidTr="00086E93">
        <w:trPr>
          <w:trHeight w:val="688"/>
        </w:trPr>
        <w:tc>
          <w:tcPr>
            <w:tcW w:w="4207" w:type="dxa"/>
            <w:vMerge w:val="restart"/>
          </w:tcPr>
          <w:p w:rsidR="00086E93" w:rsidRPr="002E4E7B" w:rsidRDefault="00086E93" w:rsidP="001E5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B06221">
              <w:rPr>
                <w:rFonts w:ascii="Times New Roman" w:hAnsi="Times New Roman" w:cs="Times New Roman"/>
              </w:rPr>
              <w:t xml:space="preserve">. </w:t>
            </w:r>
            <w:r w:rsidR="00702907" w:rsidRPr="002827BC">
              <w:rPr>
                <w:rFonts w:eastAsia="Times-Roman"/>
                <w:sz w:val="24"/>
                <w:szCs w:val="24"/>
              </w:rPr>
              <w:t xml:space="preserve"> </w:t>
            </w:r>
            <w:r w:rsidR="00702907" w:rsidRPr="00702907">
              <w:rPr>
                <w:rFonts w:ascii="Times New Roman" w:hAnsi="Times New Roman" w:cs="Times New Roman"/>
              </w:rPr>
              <w:t xml:space="preserve">Приобретение </w:t>
            </w:r>
            <w:r w:rsidR="001E5A5C">
              <w:rPr>
                <w:rFonts w:ascii="Times New Roman" w:hAnsi="Times New Roman" w:cs="Times New Roman"/>
              </w:rPr>
              <w:t>материалов для уличного освещения в деревнях</w:t>
            </w:r>
            <w:r w:rsidR="00702907" w:rsidRPr="00702907">
              <w:rPr>
                <w:rFonts w:ascii="Times New Roman" w:hAnsi="Times New Roman" w:cs="Times New Roman"/>
              </w:rPr>
              <w:t xml:space="preserve">: </w:t>
            </w:r>
            <w:r w:rsidR="001E5A5C">
              <w:rPr>
                <w:rFonts w:ascii="Times New Roman" w:hAnsi="Times New Roman" w:cs="Times New Roman"/>
              </w:rPr>
              <w:t>д. Теребушка, д. Падрила, д. Овдакало,</w:t>
            </w:r>
            <w:proofErr w:type="gramStart"/>
            <w:r w:rsidR="001E5A5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E5A5C">
              <w:rPr>
                <w:rFonts w:ascii="Times New Roman" w:hAnsi="Times New Roman" w:cs="Times New Roman"/>
              </w:rPr>
              <w:t>д. Валдома, д. Рындела, д. Койчала</w:t>
            </w:r>
          </w:p>
        </w:tc>
        <w:tc>
          <w:tcPr>
            <w:tcW w:w="7068" w:type="dxa"/>
            <w:vMerge w:val="restart"/>
          </w:tcPr>
          <w:p w:rsidR="00086E93" w:rsidRDefault="00086E93" w:rsidP="00086E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6EE">
              <w:rPr>
                <w:rFonts w:ascii="Times New Roman" w:hAnsi="Times New Roman" w:cs="Times New Roman"/>
              </w:rPr>
              <w:t>Ответственный исполнитель - Администрация МО Шумское сельское поселение</w:t>
            </w:r>
          </w:p>
          <w:p w:rsidR="00086E93" w:rsidRPr="00106AB0" w:rsidRDefault="00086E93" w:rsidP="00086E93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 xml:space="preserve">Участники программы: </w:t>
            </w:r>
          </w:p>
          <w:p w:rsidR="00086E93" w:rsidRPr="00106AB0" w:rsidRDefault="00086E93" w:rsidP="00086E93">
            <w:pPr>
              <w:rPr>
                <w:rFonts w:ascii="Times New Roman" w:hAnsi="Times New Roman" w:cs="Times New Roman"/>
              </w:rPr>
            </w:pPr>
            <w:r w:rsidRPr="00106A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Старосты МО Шумское сельское поселение</w:t>
            </w:r>
          </w:p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95744D">
              <w:rPr>
                <w:rFonts w:ascii="Times New Roman" w:hAnsi="Times New Roman" w:cs="Times New Roman"/>
              </w:rPr>
              <w:t>- Организации и предприятия, определенные в качестве поставщика (подрядчика, исполнителя) в соответствии с Федеральным законом 44-ФЗ от 05.04.2013 г.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848" w:type="dxa"/>
          </w:tcPr>
          <w:p w:rsidR="00086E93" w:rsidRPr="002E4E7B" w:rsidRDefault="00086E93" w:rsidP="001E5A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</w:t>
            </w:r>
            <w:r w:rsidR="001E5A5C">
              <w:rPr>
                <w:rFonts w:ascii="Times New Roman" w:hAnsi="Times New Roman" w:cs="Times New Roman"/>
                <w:color w:val="333333"/>
              </w:rPr>
              <w:t>4</w:t>
            </w:r>
          </w:p>
        </w:tc>
        <w:tc>
          <w:tcPr>
            <w:tcW w:w="957" w:type="dxa"/>
          </w:tcPr>
          <w:p w:rsidR="00086E93" w:rsidRPr="002E4E7B" w:rsidRDefault="001E5A5C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="00702907">
              <w:rPr>
                <w:rFonts w:ascii="Times New Roman" w:hAnsi="Times New Roman" w:cs="Times New Roman"/>
                <w:color w:val="333333"/>
              </w:rPr>
              <w:t>00,00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748" w:type="dxa"/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086E93" w:rsidRPr="002E4E7B" w:rsidRDefault="001E5A5C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712,000</w:t>
            </w:r>
          </w:p>
        </w:tc>
        <w:tc>
          <w:tcPr>
            <w:tcW w:w="1118" w:type="dxa"/>
          </w:tcPr>
          <w:p w:rsidR="00086E93" w:rsidRPr="002E4E7B" w:rsidRDefault="001E5A5C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88,000</w:t>
            </w:r>
          </w:p>
        </w:tc>
      </w:tr>
      <w:tr w:rsidR="00086E93" w:rsidTr="00086E93">
        <w:trPr>
          <w:trHeight w:val="621"/>
        </w:trPr>
        <w:tc>
          <w:tcPr>
            <w:tcW w:w="4207" w:type="dxa"/>
            <w:vMerge/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68" w:type="dxa"/>
            <w:vMerge/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48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</w:t>
            </w:r>
            <w:r w:rsidR="001E5A5C">
              <w:rPr>
                <w:rFonts w:ascii="Times New Roman" w:hAnsi="Times New Roman" w:cs="Times New Roman"/>
                <w:color w:val="333333"/>
              </w:rPr>
              <w:t>5</w:t>
            </w:r>
          </w:p>
        </w:tc>
        <w:tc>
          <w:tcPr>
            <w:tcW w:w="957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748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1118" w:type="dxa"/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</w:tr>
      <w:tr w:rsidR="00086E93" w:rsidTr="00086E93">
        <w:trPr>
          <w:trHeight w:val="844"/>
        </w:trPr>
        <w:tc>
          <w:tcPr>
            <w:tcW w:w="4207" w:type="dxa"/>
            <w:vMerge/>
            <w:tcBorders>
              <w:bottom w:val="single" w:sz="4" w:space="0" w:color="auto"/>
            </w:tcBorders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68" w:type="dxa"/>
            <w:vMerge/>
            <w:tcBorders>
              <w:bottom w:val="single" w:sz="4" w:space="0" w:color="auto"/>
            </w:tcBorders>
          </w:tcPr>
          <w:p w:rsidR="00086E93" w:rsidRPr="002E4E7B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</w:t>
            </w:r>
            <w:r w:rsidR="001E5A5C">
              <w:rPr>
                <w:rFonts w:ascii="Times New Roman" w:hAnsi="Times New Roman" w:cs="Times New Roman"/>
                <w:color w:val="333333"/>
              </w:rPr>
              <w:t>6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086E93" w:rsidRDefault="00086E93" w:rsidP="00086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0,0</w:t>
            </w:r>
          </w:p>
        </w:tc>
      </w:tr>
    </w:tbl>
    <w:p w:rsidR="00106AB0" w:rsidRDefault="00106AB0" w:rsidP="00D0214C">
      <w:pPr>
        <w:widowControl/>
        <w:shd w:val="clear" w:color="auto" w:fill="FFFFFF"/>
        <w:autoSpaceDE/>
        <w:autoSpaceDN/>
        <w:adjustRightInd/>
        <w:spacing w:after="135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106AB0" w:rsidRPr="00525867" w:rsidRDefault="00106AB0" w:rsidP="00D0214C">
      <w:pPr>
        <w:widowControl/>
        <w:shd w:val="clear" w:color="auto" w:fill="FFFFFF"/>
        <w:autoSpaceDE/>
        <w:autoSpaceDN/>
        <w:adjustRightInd/>
        <w:spacing w:after="135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D0214C">
      <w:pPr>
        <w:widowControl/>
        <w:autoSpaceDE/>
        <w:autoSpaceDN/>
        <w:adjustRightInd/>
        <w:spacing w:after="13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06AB0" w:rsidRDefault="00106AB0" w:rsidP="00B06221">
      <w:pPr>
        <w:widowControl/>
        <w:autoSpaceDE/>
        <w:autoSpaceDN/>
        <w:adjustRightInd/>
        <w:spacing w:after="135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06221" w:rsidRDefault="00B06221" w:rsidP="00B06221">
      <w:pPr>
        <w:widowControl/>
        <w:autoSpaceDE/>
        <w:autoSpaceDN/>
        <w:adjustRightInd/>
        <w:spacing w:after="135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06221" w:rsidRDefault="00B06221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B06221" w:rsidRDefault="00B06221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B06221" w:rsidRDefault="00B06221" w:rsidP="001B7617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333333"/>
          <w:sz w:val="24"/>
          <w:szCs w:val="24"/>
        </w:rPr>
      </w:pPr>
    </w:p>
    <w:p w:rsidR="00B06221" w:rsidRDefault="00B06221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525867" w:rsidRPr="00525867" w:rsidRDefault="00B06221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Прил</w:t>
      </w:r>
      <w:r w:rsidR="00525867" w:rsidRPr="00525867">
        <w:rPr>
          <w:rFonts w:ascii="Times New Roman" w:hAnsi="Times New Roman" w:cs="Times New Roman"/>
          <w:color w:val="333333"/>
          <w:sz w:val="24"/>
          <w:szCs w:val="24"/>
        </w:rPr>
        <w:t xml:space="preserve">ожение № </w:t>
      </w:r>
      <w:r w:rsidR="000A395B">
        <w:rPr>
          <w:rFonts w:ascii="Times New Roman" w:hAnsi="Times New Roman" w:cs="Times New Roman"/>
          <w:color w:val="333333"/>
          <w:sz w:val="24"/>
          <w:szCs w:val="24"/>
        </w:rPr>
        <w:t>2</w:t>
      </w:r>
    </w:p>
    <w:p w:rsidR="00525867" w:rsidRPr="00525867" w:rsidRDefault="00525867" w:rsidP="00067562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525867">
        <w:rPr>
          <w:rFonts w:ascii="Times New Roman" w:hAnsi="Times New Roman" w:cs="Times New Roman"/>
          <w:color w:val="333333"/>
          <w:sz w:val="24"/>
          <w:szCs w:val="24"/>
        </w:rPr>
        <w:t>к Программе</w:t>
      </w:r>
    </w:p>
    <w:p w:rsidR="00067562" w:rsidRPr="000A395B" w:rsidRDefault="00525867" w:rsidP="000A395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>Планируемые результаты реализации</w:t>
      </w:r>
    </w:p>
    <w:p w:rsidR="00525867" w:rsidRPr="000A395B" w:rsidRDefault="00525867" w:rsidP="000A395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>муниципальной программы</w:t>
      </w:r>
    </w:p>
    <w:p w:rsidR="000A395B" w:rsidRPr="000A395B" w:rsidRDefault="000A395B" w:rsidP="000A395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>«Развитие части территории муниципального образования Шумское сельское поселение Кировского муниципального района Ленинградской области на 202</w:t>
      </w:r>
      <w:r w:rsidR="000505DA">
        <w:rPr>
          <w:rFonts w:ascii="Times New Roman" w:hAnsi="Times New Roman" w:cs="Times New Roman"/>
          <w:b/>
          <w:color w:val="333333"/>
          <w:sz w:val="24"/>
          <w:szCs w:val="24"/>
        </w:rPr>
        <w:t>4</w:t>
      </w: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год»</w:t>
      </w:r>
    </w:p>
    <w:p w:rsidR="00525867" w:rsidRPr="000A395B" w:rsidRDefault="00525867" w:rsidP="000A395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A395B">
        <w:rPr>
          <w:rFonts w:ascii="Times New Roman" w:hAnsi="Times New Roman" w:cs="Times New Roman"/>
          <w:b/>
          <w:color w:val="333333"/>
          <w:sz w:val="24"/>
          <w:szCs w:val="24"/>
        </w:rPr>
        <w:t> </w:t>
      </w:r>
    </w:p>
    <w:tbl>
      <w:tblPr>
        <w:tblW w:w="15217" w:type="dxa"/>
        <w:tblInd w:w="-351" w:type="dxa"/>
        <w:tblCellMar>
          <w:left w:w="0" w:type="dxa"/>
          <w:right w:w="0" w:type="dxa"/>
        </w:tblCellMar>
        <w:tblLook w:val="04A0"/>
      </w:tblPr>
      <w:tblGrid>
        <w:gridCol w:w="530"/>
        <w:gridCol w:w="2964"/>
        <w:gridCol w:w="863"/>
        <w:gridCol w:w="160"/>
        <w:gridCol w:w="1283"/>
        <w:gridCol w:w="3042"/>
        <w:gridCol w:w="123"/>
        <w:gridCol w:w="1276"/>
        <w:gridCol w:w="1874"/>
        <w:gridCol w:w="20"/>
        <w:gridCol w:w="3062"/>
        <w:gridCol w:w="20"/>
      </w:tblGrid>
      <w:tr w:rsidR="000A395B" w:rsidRPr="00CB66BB" w:rsidTr="000A395B">
        <w:trPr>
          <w:trHeight w:val="677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№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</w:r>
            <w:proofErr w:type="spellStart"/>
            <w:proofErr w:type="gramStart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</w:t>
            </w:r>
            <w:proofErr w:type="spellEnd"/>
            <w:proofErr w:type="gramEnd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/</w:t>
            </w:r>
            <w:proofErr w:type="spellStart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</w:t>
            </w:r>
            <w:proofErr w:type="spellEnd"/>
          </w:p>
        </w:tc>
        <w:tc>
          <w:tcPr>
            <w:tcW w:w="2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Задачи,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направленные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на достижение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цели</w:t>
            </w:r>
          </w:p>
        </w:tc>
        <w:tc>
          <w:tcPr>
            <w:tcW w:w="2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Планируемый объем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финансирования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на решение данной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задачи, тыс</w:t>
            </w:r>
            <w:proofErr w:type="gramStart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.р</w:t>
            </w:r>
            <w:proofErr w:type="gramEnd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уб.</w:t>
            </w:r>
          </w:p>
        </w:tc>
        <w:tc>
          <w:tcPr>
            <w:tcW w:w="3042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Количественные и/или качественные целевые  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показатели, характеризующие достижение     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целей и решение задач</w:t>
            </w:r>
          </w:p>
        </w:tc>
        <w:tc>
          <w:tcPr>
            <w:tcW w:w="123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Единица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измерения</w:t>
            </w:r>
          </w:p>
        </w:tc>
        <w:tc>
          <w:tcPr>
            <w:tcW w:w="1874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proofErr w:type="gramStart"/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Оценка базового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значения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показателя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(на начало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реализации муниципальной</w:t>
            </w:r>
            <w:proofErr w:type="gramEnd"/>
          </w:p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программы)</w:t>
            </w:r>
          </w:p>
        </w:tc>
        <w:tc>
          <w:tcPr>
            <w:tcW w:w="2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3082" w:type="dxa"/>
            <w:gridSpan w:val="2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Планируемое значение показателя по годам      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реализации</w:t>
            </w:r>
          </w:p>
        </w:tc>
      </w:tr>
      <w:tr w:rsidR="000A395B" w:rsidRPr="00CB66BB" w:rsidTr="000A395B">
        <w:trPr>
          <w:trHeight w:val="322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29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МБ</w:t>
            </w:r>
          </w:p>
        </w:tc>
        <w:tc>
          <w:tcPr>
            <w:tcW w:w="16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83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Другие  </w:t>
            </w: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br/>
              <w:t>источники</w:t>
            </w:r>
          </w:p>
        </w:tc>
        <w:tc>
          <w:tcPr>
            <w:tcW w:w="3042" w:type="dxa"/>
            <w:vMerge/>
            <w:tcBorders>
              <w:lef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3" w:type="dxa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874" w:type="dxa"/>
            <w:vMerge/>
            <w:tcBorders>
              <w:lef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2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3082" w:type="dxa"/>
            <w:gridSpan w:val="2"/>
            <w:vMerge w:val="restart"/>
            <w:tcBorders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 </w:t>
            </w:r>
          </w:p>
        </w:tc>
      </w:tr>
      <w:tr w:rsidR="000A395B" w:rsidRPr="00CB66BB" w:rsidTr="000A395B">
        <w:trPr>
          <w:trHeight w:val="28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2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8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6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067562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83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3042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3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874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3082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95B" w:rsidRPr="00CB66BB" w:rsidRDefault="000A395B" w:rsidP="00525867">
            <w:pPr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</w:tr>
      <w:tr w:rsidR="000A395B" w:rsidRPr="00CB66BB" w:rsidTr="00CB66BB">
        <w:trPr>
          <w:gridAfter w:val="1"/>
          <w:wAfter w:w="20" w:type="dxa"/>
          <w:trHeight w:val="3306"/>
        </w:trPr>
        <w:tc>
          <w:tcPr>
            <w:tcW w:w="5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296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Повышение уровня комплексного обустройства населенных пунктов в сельской местности  </w:t>
            </w:r>
          </w:p>
        </w:tc>
        <w:tc>
          <w:tcPr>
            <w:tcW w:w="863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505DA" w:rsidP="000C718A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lang w:eastAsia="ar-SA"/>
              </w:rPr>
              <w:t>308,989</w:t>
            </w:r>
          </w:p>
        </w:tc>
        <w:tc>
          <w:tcPr>
            <w:tcW w:w="160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A395B" w:rsidRPr="00CB66BB" w:rsidRDefault="000A395B" w:rsidP="000A395B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83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widowControl/>
              <w:autoSpaceDE/>
              <w:autoSpaceDN/>
              <w:adjustRightInd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2500,00</w:t>
            </w:r>
            <w:r w:rsidR="000505DA">
              <w:rPr>
                <w:rFonts w:ascii="Times New Roman" w:eastAsia="Arial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3042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Показатель 1  </w:t>
            </w:r>
          </w:p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Доля дорог и сооружений на них соответствующих   нормативными требованиями</w:t>
            </w: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Показатель 2</w:t>
            </w: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 xml:space="preserve">Благоустройство центров сельских населенных пунктов </w:t>
            </w: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after="135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Показатель 3</w:t>
            </w:r>
          </w:p>
          <w:p w:rsidR="00702907" w:rsidRPr="00CB66BB" w:rsidRDefault="00702907" w:rsidP="0070290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 xml:space="preserve">Уличное освещение сельских населенных пунктов </w:t>
            </w:r>
          </w:p>
        </w:tc>
        <w:tc>
          <w:tcPr>
            <w:tcW w:w="123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0A395B" w:rsidRPr="00CB66BB" w:rsidRDefault="000A395B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0A395B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%</w:t>
            </w:r>
          </w:p>
          <w:p w:rsidR="000A395B" w:rsidRPr="00CB66BB" w:rsidRDefault="000A395B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 </w:t>
            </w: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%</w:t>
            </w: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525867">
            <w:pPr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%</w:t>
            </w:r>
          </w:p>
        </w:tc>
        <w:tc>
          <w:tcPr>
            <w:tcW w:w="187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A395B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80</w:t>
            </w: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80</w:t>
            </w: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75</w:t>
            </w:r>
          </w:p>
        </w:tc>
        <w:tc>
          <w:tcPr>
            <w:tcW w:w="308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A395B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80</w:t>
            </w: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702907" w:rsidRPr="00CB66BB" w:rsidRDefault="00702907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80</w:t>
            </w:r>
          </w:p>
          <w:p w:rsidR="000A395B" w:rsidRPr="00CB66BB" w:rsidRDefault="000A395B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0A395B" w:rsidP="007029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0A395B" w:rsidRPr="00CB66BB" w:rsidRDefault="00702907" w:rsidP="00702907">
            <w:pPr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CB66BB">
              <w:rPr>
                <w:rFonts w:ascii="Times New Roman" w:eastAsia="Arial" w:hAnsi="Times New Roman" w:cs="Times New Roman"/>
                <w:bCs/>
                <w:lang w:eastAsia="ar-SA"/>
              </w:rPr>
              <w:t>75</w:t>
            </w:r>
          </w:p>
        </w:tc>
      </w:tr>
    </w:tbl>
    <w:p w:rsidR="00CD6672" w:rsidRPr="00CB66BB" w:rsidRDefault="00CD6672" w:rsidP="00CB66BB">
      <w:pPr>
        <w:rPr>
          <w:rFonts w:ascii="Times New Roman" w:hAnsi="Times New Roman" w:cs="Times New Roman"/>
          <w:color w:val="333333"/>
        </w:rPr>
      </w:pPr>
    </w:p>
    <w:sectPr w:rsidR="00CD6672" w:rsidRPr="00CB66BB" w:rsidSect="00B06221">
      <w:pgSz w:w="16837" w:h="11906" w:orient="landscape" w:code="9"/>
      <w:pgMar w:top="709" w:right="1134" w:bottom="851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4C1"/>
    <w:multiLevelType w:val="multilevel"/>
    <w:tmpl w:val="EB10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A5C5A"/>
    <w:multiLevelType w:val="multilevel"/>
    <w:tmpl w:val="7A3A739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15840CB4"/>
    <w:multiLevelType w:val="multilevel"/>
    <w:tmpl w:val="2FEC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86E32"/>
    <w:multiLevelType w:val="multilevel"/>
    <w:tmpl w:val="82E0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3841C9"/>
    <w:multiLevelType w:val="multilevel"/>
    <w:tmpl w:val="083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D7FF2"/>
    <w:multiLevelType w:val="multilevel"/>
    <w:tmpl w:val="9C5A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2609F"/>
    <w:multiLevelType w:val="multilevel"/>
    <w:tmpl w:val="32BA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22781"/>
    <w:multiLevelType w:val="multilevel"/>
    <w:tmpl w:val="5AE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BC2EBF"/>
    <w:multiLevelType w:val="multilevel"/>
    <w:tmpl w:val="42D8D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84ABF"/>
    <w:rsid w:val="000505DA"/>
    <w:rsid w:val="00067562"/>
    <w:rsid w:val="00086E93"/>
    <w:rsid w:val="000A395B"/>
    <w:rsid w:val="000B6F5C"/>
    <w:rsid w:val="000C47FC"/>
    <w:rsid w:val="000C718A"/>
    <w:rsid w:val="00106AB0"/>
    <w:rsid w:val="001336EC"/>
    <w:rsid w:val="0017739D"/>
    <w:rsid w:val="001A18C6"/>
    <w:rsid w:val="001B7617"/>
    <w:rsid w:val="001E5A5C"/>
    <w:rsid w:val="001F7166"/>
    <w:rsid w:val="00250536"/>
    <w:rsid w:val="0027628E"/>
    <w:rsid w:val="00277849"/>
    <w:rsid w:val="002E03BE"/>
    <w:rsid w:val="002E4E7B"/>
    <w:rsid w:val="002F06FA"/>
    <w:rsid w:val="002F149E"/>
    <w:rsid w:val="00322CBE"/>
    <w:rsid w:val="00474254"/>
    <w:rsid w:val="004D36E2"/>
    <w:rsid w:val="0051011A"/>
    <w:rsid w:val="00525867"/>
    <w:rsid w:val="00574679"/>
    <w:rsid w:val="00702907"/>
    <w:rsid w:val="007331DE"/>
    <w:rsid w:val="007432BE"/>
    <w:rsid w:val="00784ABF"/>
    <w:rsid w:val="00794218"/>
    <w:rsid w:val="007F1249"/>
    <w:rsid w:val="00822A04"/>
    <w:rsid w:val="0099591B"/>
    <w:rsid w:val="00996713"/>
    <w:rsid w:val="009B7732"/>
    <w:rsid w:val="00A21BF4"/>
    <w:rsid w:val="00A95058"/>
    <w:rsid w:val="00AE4CFA"/>
    <w:rsid w:val="00AF13F4"/>
    <w:rsid w:val="00B06221"/>
    <w:rsid w:val="00BC53B1"/>
    <w:rsid w:val="00BD4982"/>
    <w:rsid w:val="00C34468"/>
    <w:rsid w:val="00C36019"/>
    <w:rsid w:val="00C81BB8"/>
    <w:rsid w:val="00CB66BB"/>
    <w:rsid w:val="00CD6672"/>
    <w:rsid w:val="00CF737C"/>
    <w:rsid w:val="00D0214C"/>
    <w:rsid w:val="00D50A08"/>
    <w:rsid w:val="00D546F8"/>
    <w:rsid w:val="00D60528"/>
    <w:rsid w:val="00D6130E"/>
    <w:rsid w:val="00E679E1"/>
    <w:rsid w:val="00E76A36"/>
    <w:rsid w:val="00E81F03"/>
    <w:rsid w:val="00EF10A4"/>
    <w:rsid w:val="00F0198C"/>
    <w:rsid w:val="00FD3610"/>
    <w:rsid w:val="00FF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86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rsid w:val="00D0214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styleId="a4">
    <w:name w:val="No Spacing"/>
    <w:uiPriority w:val="1"/>
    <w:qFormat/>
    <w:rsid w:val="00322C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2C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C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06A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6AB0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2E4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0B6F5C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basedOn w:val="a0"/>
    <w:link w:val="a8"/>
    <w:uiPriority w:val="34"/>
    <w:locked/>
    <w:rsid w:val="000B6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basedOn w:val="a0"/>
    <w:rsid w:val="00702907"/>
    <w:rPr>
      <w:rFonts w:ascii="Times New Roman" w:hAnsi="Times New Roman" w:cs="Times New Roman"/>
      <w:sz w:val="14"/>
      <w:szCs w:val="14"/>
    </w:rPr>
  </w:style>
  <w:style w:type="character" w:styleId="aa">
    <w:name w:val="annotation reference"/>
    <w:basedOn w:val="a0"/>
    <w:uiPriority w:val="99"/>
    <w:semiHidden/>
    <w:unhideWhenUsed/>
    <w:rsid w:val="00C344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34468"/>
  </w:style>
  <w:style w:type="character" w:customStyle="1" w:styleId="ac">
    <w:name w:val="Текст примечания Знак"/>
    <w:basedOn w:val="a0"/>
    <w:link w:val="ab"/>
    <w:uiPriority w:val="99"/>
    <w:semiHidden/>
    <w:rsid w:val="00C34468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44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34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6;&#1091;&#108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2023-01-19T12:57:00Z</cp:lastPrinted>
  <dcterms:created xsi:type="dcterms:W3CDTF">2023-11-26T14:25:00Z</dcterms:created>
  <dcterms:modified xsi:type="dcterms:W3CDTF">2023-11-26T14:25:00Z</dcterms:modified>
</cp:coreProperties>
</file>